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新宋体" w:eastAsia="黑体"/>
          <w:b/>
          <w:sz w:val="36"/>
          <w:szCs w:val="36"/>
          <w:lang w:eastAsia="zh-CN"/>
        </w:rPr>
      </w:pPr>
      <w:r>
        <w:rPr>
          <w:rFonts w:hint="eastAsia" w:ascii="黑体" w:hAnsi="新宋体" w:eastAsia="黑体"/>
          <w:b/>
          <w:sz w:val="36"/>
          <w:szCs w:val="36"/>
          <w:lang w:eastAsia="zh-CN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eastAsia="zh-CN"/>
        </w:rPr>
        <w:t>招生考试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（科目名称：微观经济学  科目代码:825）</w:t>
      </w:r>
    </w:p>
    <w:p>
      <w:pPr>
        <w:jc w:val="center"/>
      </w:pP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微观经济学》是我校应用经济学一级学科硕士研究生招生考试的初试科目，旨在测试考生是否具备攻读应用经济学专业硕士所必须的基本素质、一般能力和培养潜能，以利于选拔具有发展潜力的优秀人才入学，为国家的经济建设培养深厚经济学基础、职业道德良好、国际视野广阔、分析和解决实际问题能力较强的高层次、复合型的应用经济专业人才。主要考查目标如下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1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考生对微观经济学的基本概念、基本理论和分析方法的掌握程度；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2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考生融会贯通、灵活运用微观经济学原理和知识的能力；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3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考生发现、分析和解决现实经济问题的能力；</w:t>
      </w:r>
    </w:p>
    <w:p>
      <w:pPr>
        <w:spacing w:line="600" w:lineRule="exact"/>
        <w:ind w:firstLine="480" w:firstLineChars="200"/>
        <w:rPr>
          <w:color w:val="FF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4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考生对经济热点和经济学研究动态的了解情况。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（一）试卷成绩及考试时间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color w:val="FF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本试卷满分为150分，考试时间180分钟。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1、单项选择题：30小题</w:t>
      </w:r>
      <w:r>
        <w:rPr>
          <w:rFonts w:hint="eastAsia"/>
          <w:color w:val="000000"/>
          <w:kern w:val="0"/>
          <w:sz w:val="24"/>
          <w:szCs w:val="32"/>
        </w:rPr>
        <w:t>，每小题1分，共计</w:t>
      </w:r>
      <w:r>
        <w:rPr>
          <w:color w:val="000000"/>
          <w:kern w:val="0"/>
          <w:sz w:val="24"/>
          <w:szCs w:val="32"/>
        </w:rPr>
        <w:t>30分</w:t>
      </w:r>
      <w:r>
        <w:rPr>
          <w:rFonts w:hint="eastAsia"/>
          <w:color w:val="000000"/>
          <w:kern w:val="0"/>
          <w:sz w:val="24"/>
          <w:szCs w:val="32"/>
        </w:rPr>
        <w:t>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2、名词解释：</w:t>
      </w:r>
      <w:r>
        <w:rPr>
          <w:rFonts w:hint="eastAsia"/>
          <w:color w:val="000000"/>
          <w:kern w:val="0"/>
          <w:sz w:val="24"/>
          <w:szCs w:val="32"/>
        </w:rPr>
        <w:t>7小题，每小题4分，共计28分；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3、简答题：</w:t>
      </w:r>
      <w:r>
        <w:rPr>
          <w:rFonts w:hint="eastAsia"/>
          <w:color w:val="000000"/>
          <w:kern w:val="0"/>
          <w:sz w:val="24"/>
          <w:szCs w:val="32"/>
        </w:rPr>
        <w:t>7</w:t>
      </w:r>
      <w:r>
        <w:rPr>
          <w:color w:val="000000"/>
          <w:kern w:val="0"/>
          <w:sz w:val="24"/>
          <w:szCs w:val="32"/>
        </w:rPr>
        <w:t>小题</w:t>
      </w:r>
      <w:r>
        <w:rPr>
          <w:rFonts w:hint="eastAsia"/>
          <w:color w:val="000000"/>
          <w:kern w:val="0"/>
          <w:sz w:val="24"/>
          <w:szCs w:val="32"/>
        </w:rPr>
        <w:t>，每小题7分，共计49</w:t>
      </w:r>
      <w:r>
        <w:rPr>
          <w:color w:val="000000"/>
          <w:kern w:val="0"/>
          <w:sz w:val="24"/>
          <w:szCs w:val="32"/>
        </w:rPr>
        <w:t>分</w:t>
      </w:r>
      <w:r>
        <w:rPr>
          <w:rFonts w:hint="eastAsia"/>
          <w:color w:val="000000"/>
          <w:kern w:val="0"/>
          <w:sz w:val="24"/>
          <w:szCs w:val="32"/>
        </w:rPr>
        <w:t>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4、计算题：</w:t>
      </w:r>
      <w:r>
        <w:rPr>
          <w:rFonts w:hint="eastAsia"/>
          <w:color w:val="000000"/>
          <w:kern w:val="0"/>
          <w:sz w:val="24"/>
          <w:szCs w:val="32"/>
        </w:rPr>
        <w:t>3小题，每小题10分，共计30分；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5、分析题：</w:t>
      </w:r>
      <w:r>
        <w:rPr>
          <w:rFonts w:hint="eastAsia"/>
          <w:color w:val="000000"/>
          <w:kern w:val="0"/>
          <w:sz w:val="24"/>
          <w:szCs w:val="32"/>
        </w:rPr>
        <w:t>1小题，每小题13分，共计13分。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（四）主要参考书目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《西方经济学》（微观部分·第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八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版)，高鸿业主编，人民大学出版社，20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600" w:lineRule="exact"/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32"/>
        </w:rPr>
        <w:t>（一）需求和供给曲线概述以及有关的基本概念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1、微观经济学的特点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2、需求曲线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3、供给曲线</w:t>
      </w:r>
      <w:bookmarkStart w:id="0" w:name="_GoBack"/>
      <w:bookmarkEnd w:id="0"/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4、供求曲线的共同作用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5、经济模型、静态分析、比较静态分析和动态分析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6、需求弹性和供给弹性</w:t>
      </w:r>
    </w:p>
    <w:p>
      <w:pPr>
        <w:spacing w:line="600" w:lineRule="exact"/>
        <w:ind w:firstLine="482" w:firstLineChars="20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（二）效用论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1、效用论概述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2、无差异曲线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3、预算线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4、消费者的均衡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5、价格变化和收入变化对消费者均衡的影响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6、替代效应和收入效应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（三）生产论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1、厂商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3、一种可变生产要素的生产函数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4、两种可变生产要素的生产函数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5、等成本线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6、最优的生产要素组合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7、利润最大化可以得到最优的生产要素组合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8、扩展线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9、规模报酬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（四）成本论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1、成本的概念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2、短期总产量和短期总成本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3、短期成本曲线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4、短期产量曲线与短期成本曲线之间的关系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5、长期总成本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6、长期平均成本与长期边际成本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（五）完全竞争市场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1、厂商和市场类型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2、完全竞争厂商的需求曲线和收益曲线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3、厂商实现利润最大化的均衡条件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4、完全竞争厂商的短期均衡和短期供给曲线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5、完全竞争行业的短期供给曲线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6、完全竞争厂商的长期均衡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7、完全竞争行业的长期供给曲线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8、完全竞争市场的短期均衡和长期均衡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（六）不完全竞争市场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1、垄断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2、垄断竞争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3、寡头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4、不同市场的经济效率的比较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（七）生产要素价格决定的需求方面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1、分配论概述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2、引致需求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3、完全竞争厂商使用生产要素的原则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4、完全竞争厂商对生产要素的需求曲线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（八）生产要素价格决定的供给方面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1、对供给方面的概述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2、对劳动供给曲线和工资的决定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3、土地的供给曲线和地租的决定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4、资本的供给曲线和利息的决定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>
        <w:rPr>
          <w:color w:val="000000"/>
          <w:kern w:val="0"/>
          <w:sz w:val="24"/>
        </w:rPr>
        <w:t>、洛伦兹曲线和基尼系数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（九）市场失灵和微观经济政策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1、垄断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2、外部影响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3、公共物品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4、不完全信息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1353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66623FB2"/>
    <w:rsid w:val="00041B33"/>
    <w:rsid w:val="00052CEA"/>
    <w:rsid w:val="000C5109"/>
    <w:rsid w:val="001038B3"/>
    <w:rsid w:val="00463142"/>
    <w:rsid w:val="00641B97"/>
    <w:rsid w:val="006C0A0F"/>
    <w:rsid w:val="0087400D"/>
    <w:rsid w:val="00E343B6"/>
    <w:rsid w:val="00ED4ACC"/>
    <w:rsid w:val="5DCE042C"/>
    <w:rsid w:val="62ED685F"/>
    <w:rsid w:val="63B60E50"/>
    <w:rsid w:val="66623FB2"/>
    <w:rsid w:val="716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1222</Words>
  <Characters>1243</Characters>
  <Lines>9</Lines>
  <Paragraphs>2</Paragraphs>
  <TotalTime>4</TotalTime>
  <ScaleCrop>false</ScaleCrop>
  <LinksUpToDate>false</LinksUpToDate>
  <CharactersWithSpaces>1247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2019-09-11T02:07:00Z</dcterms:created>
  <dc:creator>皮梦玉</dc:creator>
  <cp:lastModifiedBy>Lenovo</cp:lastModifiedBy>
  <cp:lastPrinted>2022-09-27T02:05:00Z</cp:lastPrinted>
  <dcterms:modified xsi:type="dcterms:W3CDTF">2022-09-27T03:00:04Z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9C45C4C803BD479385CBC2819C71B7B6</vt:lpwstr>
  </property>
</Properties>
</file>