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FF709">
      <w:pPr>
        <w:pStyle w:val="2"/>
        <w:jc w:val="center"/>
        <w:rPr>
          <w:rFonts w:ascii="华文中宋" w:hAnsi="华文中宋" w:eastAsia="华文中宋"/>
        </w:rPr>
      </w:pPr>
      <w:r>
        <w:rPr>
          <w:rFonts w:hint="eastAsia" w:ascii="华文中宋" w:hAnsi="华文中宋" w:eastAsia="华文中宋"/>
        </w:rPr>
        <w:t>学业奖学金评定过程中常见问题解答</w:t>
      </w:r>
    </w:p>
    <w:p w14:paraId="20F37FBC">
      <w:pPr>
        <w:rPr>
          <w:rFonts w:asciiTheme="minorEastAsia" w:hAnsiTheme="minorEastAsia"/>
          <w:b/>
          <w:sz w:val="28"/>
        </w:rPr>
      </w:pPr>
      <w:r>
        <w:rPr>
          <w:rFonts w:hint="eastAsia" w:asciiTheme="minorEastAsia" w:hAnsiTheme="minorEastAsia"/>
          <w:b/>
          <w:sz w:val="28"/>
        </w:rPr>
        <w:t>1.如何确定学院可参与学业奖学金评定的参评基数？</w:t>
      </w:r>
    </w:p>
    <w:p w14:paraId="27FB5371">
      <w:pPr>
        <w:spacing w:line="360" w:lineRule="auto"/>
        <w:ind w:firstLine="560" w:firstLineChars="200"/>
        <w:rPr>
          <w:rFonts w:asciiTheme="minorEastAsia" w:hAnsiTheme="minorEastAsia"/>
          <w:sz w:val="28"/>
        </w:rPr>
      </w:pPr>
      <w:r>
        <w:rPr>
          <w:rFonts w:asciiTheme="minorEastAsia" w:hAnsiTheme="minorEastAsia"/>
          <w:sz w:val="28"/>
        </w:rPr>
        <w:t>学业奖学金在按各个比例进行测算时不能包括档案未到校、定向培养、有工资收入、非全日制学生、学籍异动（休学、退学、保留入学学籍）和超出</w:t>
      </w:r>
      <w:r>
        <w:rPr>
          <w:rFonts w:hint="eastAsia" w:asciiTheme="minorEastAsia" w:hAnsiTheme="minorEastAsia"/>
          <w:sz w:val="28"/>
        </w:rPr>
        <w:t>3年基本学制的学生</w:t>
      </w:r>
      <w:r>
        <w:rPr>
          <w:rFonts w:asciiTheme="minorEastAsia" w:hAnsiTheme="minorEastAsia"/>
          <w:sz w:val="28"/>
        </w:rPr>
        <w:t>，可参评的人员名单与可获得国家助学金的名单是一致的，在实际按比例测算本学院一等、二等、三等学业奖学金名额时，可以参照国家助学金提交的名单人数及专业情况进行测算。</w:t>
      </w:r>
    </w:p>
    <w:p w14:paraId="40F2C0CE">
      <w:pPr>
        <w:spacing w:line="360" w:lineRule="auto"/>
        <w:rPr>
          <w:rFonts w:asciiTheme="minorEastAsia" w:hAnsiTheme="minorEastAsia"/>
          <w:b/>
          <w:sz w:val="28"/>
        </w:rPr>
      </w:pPr>
      <w:r>
        <w:rPr>
          <w:rFonts w:hint="eastAsia" w:asciiTheme="minorEastAsia" w:hAnsiTheme="minorEastAsia"/>
          <w:b/>
          <w:sz w:val="28"/>
        </w:rPr>
        <w:t>2.测算各等级名额时应注意的事项？</w:t>
      </w:r>
    </w:p>
    <w:p w14:paraId="37ADB040">
      <w:pPr>
        <w:spacing w:line="360" w:lineRule="auto"/>
        <w:ind w:firstLine="560" w:firstLineChars="200"/>
        <w:rPr>
          <w:rFonts w:asciiTheme="minorEastAsia" w:hAnsiTheme="minorEastAsia"/>
          <w:sz w:val="28"/>
        </w:rPr>
      </w:pPr>
      <w:r>
        <w:rPr>
          <w:rFonts w:asciiTheme="minorEastAsia" w:hAnsiTheme="minorEastAsia"/>
          <w:sz w:val="28"/>
        </w:rPr>
        <w:t>（</w:t>
      </w:r>
      <w:r>
        <w:rPr>
          <w:rFonts w:hint="eastAsia" w:asciiTheme="minorEastAsia" w:hAnsiTheme="minorEastAsia"/>
          <w:sz w:val="28"/>
        </w:rPr>
        <w:t>1）在给各专业分配名额时一定要先测算学院各等级的总名额数，避免评完公示后发现各等级的总名额数超过应上报的名额（例如经管法学院一等学业奖学金总名额为8个，分配给学院各专业的一等学业奖学金名额总和不能超过8个）；</w:t>
      </w:r>
    </w:p>
    <w:p w14:paraId="67C9CB5C">
      <w:pPr>
        <w:spacing w:line="360" w:lineRule="auto"/>
        <w:ind w:firstLine="560" w:firstLineChars="200"/>
        <w:rPr>
          <w:rFonts w:asciiTheme="minorEastAsia" w:hAnsiTheme="minorEastAsia"/>
          <w:sz w:val="28"/>
        </w:rPr>
      </w:pPr>
      <w:r>
        <w:rPr>
          <w:rFonts w:hint="eastAsia" w:asciiTheme="minorEastAsia" w:hAnsiTheme="minorEastAsia"/>
          <w:sz w:val="28"/>
        </w:rPr>
        <w:t>（2）测算等级时严格遵守“四舍五不入”的原则（例如一等按比例测算为4.7，不能把一等名额数定为5，而要确定为4），如有特殊情况需要调整应报告研究生工作部进行名额确认；</w:t>
      </w:r>
    </w:p>
    <w:p w14:paraId="62D9B2CF">
      <w:pPr>
        <w:spacing w:line="360" w:lineRule="auto"/>
        <w:ind w:firstLine="560" w:firstLineChars="200"/>
        <w:rPr>
          <w:rFonts w:asciiTheme="minorEastAsia" w:hAnsiTheme="minorEastAsia"/>
          <w:sz w:val="28"/>
        </w:rPr>
      </w:pPr>
      <w:r>
        <w:rPr>
          <w:rFonts w:hint="eastAsia" w:asciiTheme="minorEastAsia" w:hAnsiTheme="minorEastAsia"/>
          <w:sz w:val="28"/>
        </w:rPr>
        <w:t>（3）各等级名额的分配应考虑学院专业数量、各专业参评的基数，合理分配名额。</w:t>
      </w:r>
    </w:p>
    <w:p w14:paraId="060F2324">
      <w:pPr>
        <w:rPr>
          <w:b/>
        </w:rPr>
      </w:pPr>
      <w:r>
        <w:rPr>
          <w:rFonts w:hint="eastAsia" w:asciiTheme="minorEastAsia" w:hAnsiTheme="minorEastAsia"/>
          <w:b/>
          <w:sz w:val="28"/>
        </w:rPr>
        <w:t>3.如何判断学生是否是有工资收入或签订了定向培养协议的？</w:t>
      </w:r>
    </w:p>
    <w:p w14:paraId="63766A94">
      <w:pPr>
        <w:spacing w:line="360" w:lineRule="auto"/>
        <w:ind w:firstLine="560" w:firstLineChars="200"/>
        <w:rPr>
          <w:rFonts w:asciiTheme="minorEastAsia" w:hAnsiTheme="minorEastAsia"/>
          <w:sz w:val="28"/>
        </w:rPr>
      </w:pPr>
      <w:r>
        <w:rPr>
          <w:rFonts w:asciiTheme="minorEastAsia" w:hAnsiTheme="minorEastAsia"/>
          <w:sz w:val="28"/>
        </w:rPr>
        <w:t>每个学院的研究生教学秘书处有学生录取时的基础信息和定向协议合同，以及学籍异动（休学、退学、保留入学学籍）情况，辅导员除自行清查档案到校情况外，对于是否定向、是否属于超出学制年限以及是否存在学籍异动，均可与学院教学秘书处的学籍表记录情况进行核对。同时，同学们在提交学业奖学金个人审批表上也一般会注明自己是否是全日制、是否有工资收入或定向培养。</w:t>
      </w:r>
    </w:p>
    <w:p w14:paraId="15503B69">
      <w:pPr>
        <w:spacing w:line="360" w:lineRule="auto"/>
        <w:rPr>
          <w:rFonts w:asciiTheme="minorEastAsia" w:hAnsiTheme="minorEastAsia"/>
          <w:b/>
          <w:sz w:val="28"/>
        </w:rPr>
      </w:pPr>
      <w:r>
        <w:rPr>
          <w:rFonts w:hint="eastAsia" w:asciiTheme="minorEastAsia" w:hAnsiTheme="minorEastAsia"/>
          <w:b/>
          <w:sz w:val="28"/>
        </w:rPr>
        <w:t>4.学业奖学金评选的比例？</w:t>
      </w:r>
    </w:p>
    <w:p w14:paraId="3CEC4629">
      <w:pPr>
        <w:spacing w:line="360" w:lineRule="auto"/>
        <w:ind w:firstLine="560" w:firstLineChars="200"/>
        <w:rPr>
          <w:rFonts w:asciiTheme="minorEastAsia" w:hAnsiTheme="minorEastAsia"/>
          <w:sz w:val="28"/>
        </w:rPr>
      </w:pPr>
      <w:r>
        <w:rPr>
          <w:rFonts w:hint="eastAsia" w:asciiTheme="minorEastAsia" w:hAnsiTheme="minorEastAsia"/>
          <w:sz w:val="28"/>
        </w:rPr>
        <w:t>202</w:t>
      </w:r>
      <w:r>
        <w:rPr>
          <w:rFonts w:hint="eastAsia" w:asciiTheme="minorEastAsia" w:hAnsiTheme="minorEastAsia"/>
          <w:sz w:val="28"/>
          <w:lang w:val="en-US" w:eastAsia="zh-CN"/>
        </w:rPr>
        <w:t>5</w:t>
      </w:r>
      <w:r>
        <w:rPr>
          <w:rFonts w:hint="eastAsia" w:asciiTheme="minorEastAsia" w:hAnsiTheme="minorEastAsia"/>
          <w:sz w:val="28"/>
        </w:rPr>
        <w:t>级新生与202</w:t>
      </w:r>
      <w:r>
        <w:rPr>
          <w:rFonts w:hint="eastAsia" w:asciiTheme="minorEastAsia" w:hAnsiTheme="minorEastAsia"/>
          <w:sz w:val="28"/>
          <w:lang w:val="en-US" w:eastAsia="zh-CN"/>
        </w:rPr>
        <w:t>3</w:t>
      </w:r>
      <w:r>
        <w:rPr>
          <w:rFonts w:hint="eastAsia" w:asciiTheme="minorEastAsia" w:hAnsiTheme="minorEastAsia"/>
          <w:sz w:val="28"/>
        </w:rPr>
        <w:t>级、202</w:t>
      </w:r>
      <w:r>
        <w:rPr>
          <w:rFonts w:hint="eastAsia" w:asciiTheme="minorEastAsia" w:hAnsiTheme="minorEastAsia"/>
          <w:sz w:val="28"/>
          <w:lang w:val="en-US" w:eastAsia="zh-CN"/>
        </w:rPr>
        <w:t>4</w:t>
      </w:r>
      <w:r>
        <w:rPr>
          <w:rFonts w:hint="eastAsia" w:asciiTheme="minorEastAsia" w:hAnsiTheme="minorEastAsia"/>
          <w:sz w:val="28"/>
        </w:rPr>
        <w:t>级老生</w:t>
      </w:r>
      <w:r>
        <w:rPr>
          <w:rFonts w:asciiTheme="minorEastAsia" w:hAnsiTheme="minorEastAsia"/>
          <w:sz w:val="28"/>
        </w:rPr>
        <w:t>的学业奖学金覆盖比例均为</w:t>
      </w:r>
      <w:r>
        <w:rPr>
          <w:rFonts w:hint="eastAsia" w:asciiTheme="minorEastAsia" w:hAnsiTheme="minorEastAsia"/>
          <w:sz w:val="28"/>
        </w:rPr>
        <w:t>80%，一等学业奖学金20%，二等学业奖学金30%，三等学业奖学金30%，金额分别为8000、6000、4000。</w:t>
      </w:r>
    </w:p>
    <w:p w14:paraId="13B181A0">
      <w:pPr>
        <w:spacing w:line="360" w:lineRule="auto"/>
        <w:rPr>
          <w:rFonts w:asciiTheme="minorEastAsia" w:hAnsiTheme="minorEastAsia"/>
          <w:b/>
          <w:sz w:val="28"/>
        </w:rPr>
      </w:pPr>
      <w:r>
        <w:rPr>
          <w:rFonts w:hint="eastAsia" w:asciiTheme="minorEastAsia" w:hAnsiTheme="minorEastAsia"/>
          <w:b/>
          <w:sz w:val="28"/>
        </w:rPr>
        <w:t>5．挂科学生算在可参评的人数基数中吗？</w:t>
      </w:r>
    </w:p>
    <w:p w14:paraId="36C54D86">
      <w:pPr>
        <w:spacing w:line="360" w:lineRule="auto"/>
        <w:ind w:firstLine="560" w:firstLineChars="200"/>
        <w:rPr>
          <w:rFonts w:hint="eastAsia" w:asciiTheme="minorEastAsia" w:hAnsiTheme="minorEastAsia"/>
          <w:sz w:val="28"/>
        </w:rPr>
      </w:pPr>
      <w:r>
        <w:rPr>
          <w:rFonts w:hint="eastAsia" w:asciiTheme="minorEastAsia" w:hAnsiTheme="minorEastAsia"/>
          <w:sz w:val="28"/>
        </w:rPr>
        <w:t>挂科的学生属于可参评的基数，由于其不符合获得点条件，因此不能获得学业奖学金，学院在测算名额时，如存在学生挂科的情况，应将其纳入测算的基数。</w:t>
      </w:r>
    </w:p>
    <w:p w14:paraId="0D463BD9">
      <w:pPr>
        <w:spacing w:line="360" w:lineRule="auto"/>
        <w:rPr>
          <w:rFonts w:asciiTheme="minorEastAsia" w:hAnsiTheme="minorEastAsia"/>
          <w:sz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MzBiYWMxOWQxM2ZjMzM0MjFjM2QxNzRjYjI2YWEifQ=="/>
  </w:docVars>
  <w:rsids>
    <w:rsidRoot w:val="00956F58"/>
    <w:rsid w:val="000161B1"/>
    <w:rsid w:val="001616B3"/>
    <w:rsid w:val="001967BA"/>
    <w:rsid w:val="0024102E"/>
    <w:rsid w:val="00582E91"/>
    <w:rsid w:val="00640BAA"/>
    <w:rsid w:val="006F7089"/>
    <w:rsid w:val="00747A2D"/>
    <w:rsid w:val="007B2FBD"/>
    <w:rsid w:val="00956F58"/>
    <w:rsid w:val="009E30D7"/>
    <w:rsid w:val="00CA05EC"/>
    <w:rsid w:val="00CC66FA"/>
    <w:rsid w:val="00E43A23"/>
    <w:rsid w:val="1EAF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2 Char"/>
    <w:basedOn w:val="7"/>
    <w:link w:val="3"/>
    <w:uiPriority w:val="9"/>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 w:type="character" w:customStyle="1" w:styleId="12">
    <w:name w:val="标题 1 Char"/>
    <w:basedOn w:val="7"/>
    <w:link w:val="2"/>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932</Words>
  <Characters>980</Characters>
  <Lines>7</Lines>
  <Paragraphs>1</Paragraphs>
  <TotalTime>57</TotalTime>
  <ScaleCrop>false</ScaleCrop>
  <LinksUpToDate>false</LinksUpToDate>
  <CharactersWithSpaces>980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2023-09-08T07:07:00Z</dcterms:created>
  <dc:creator>m425</dc:creator>
  <cp:lastModifiedBy>陈雯霜</cp:lastModifiedBy>
  <dcterms:modified xsi:type="dcterms:W3CDTF">2025-09-29T08:14:20Z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B01A7504E88248FC9ED13E17910F43DF_12</vt:lpwstr>
  </property>
</Properties>
</file>